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F7ED" w14:textId="7ABDC97E" w:rsidR="000B3848" w:rsidRPr="000E4E1C" w:rsidRDefault="00637E61" w:rsidP="000B3848">
      <w:pPr>
        <w:rPr>
          <w:rFonts w:ascii="Avenir Next LT Pro" w:hAnsi="Avenir Next LT Pro"/>
          <w:color w:val="000000" w:themeColor="text1"/>
          <w:lang w:val="en-CA"/>
        </w:rPr>
      </w:pPr>
      <w:r w:rsidRPr="000B303F">
        <w:rPr>
          <w:rFonts w:ascii="Avenir Next LT Pro" w:eastAsiaTheme="majorEastAsia" w:hAnsi="Avenir Next LT Pro" w:cstheme="majorBidi"/>
          <w:b/>
          <w:bCs/>
          <w:color w:val="E97132" w:themeColor="accent2"/>
          <w:spacing w:val="-9"/>
          <w:kern w:val="28"/>
          <w:sz w:val="44"/>
          <w:szCs w:val="44"/>
        </w:rPr>
        <w:t>Vault Professional – Gestion des ordres de changement d’ingénierie</w:t>
      </w:r>
      <w:r>
        <w:rPr>
          <w:rFonts w:ascii="Avenir Next LT Pro" w:eastAsiaTheme="majorEastAsia" w:hAnsi="Avenir Next LT Pro" w:cstheme="majorBidi"/>
          <w:b/>
          <w:bCs/>
          <w:color w:val="E97132" w:themeColor="accent2"/>
          <w:spacing w:val="-9"/>
          <w:kern w:val="28"/>
          <w:sz w:val="44"/>
          <w:szCs w:val="44"/>
        </w:rPr>
        <w:t xml:space="preserve"> (ECO)</w:t>
      </w:r>
      <w:r w:rsidRPr="000B303F">
        <w:rPr>
          <w:rFonts w:ascii="Avenir Next LT Pro" w:eastAsiaTheme="majorEastAsia" w:hAnsi="Avenir Next LT Pro" w:cstheme="majorBidi"/>
          <w:b/>
          <w:bCs/>
          <w:color w:val="E97132" w:themeColor="accent2"/>
          <w:spacing w:val="-9"/>
          <w:kern w:val="28"/>
          <w:sz w:val="44"/>
          <w:szCs w:val="44"/>
          <w:lang w:val="en-CA"/>
        </w:rPr>
        <w:t xml:space="preserve"> </w:t>
      </w:r>
      <w:r w:rsidR="00200A06">
        <w:rPr>
          <w:rFonts w:ascii="Avenir Next LT Pro" w:hAnsi="Avenir Next LT Pro"/>
          <w:color w:val="000000" w:themeColor="text1"/>
          <w:lang w:val="en-CA"/>
        </w:rPr>
        <w:pict w14:anchorId="280B7A73">
          <v:rect id="_x0000_i1025" style="width:468pt;height:1.2pt" o:hralign="center" o:hrstd="t" o:hr="t" fillcolor="#a0a0a0" stroked="f"/>
        </w:pict>
      </w:r>
    </w:p>
    <w:p w14:paraId="3AC076F5" w14:textId="411951EA" w:rsidR="00DB56AA" w:rsidRPr="000E4E1C" w:rsidRDefault="00DB56AA" w:rsidP="00DB56AA">
      <w:pPr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noProof/>
          <w:sz w:val="44"/>
          <w:szCs w:val="44"/>
          <w:lang w:val="en-CA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4A05EBD" wp14:editId="175F21F3">
            <wp:simplePos x="0" y="0"/>
            <wp:positionH relativeFrom="leftMargin">
              <wp:posOffset>2690495</wp:posOffset>
            </wp:positionH>
            <wp:positionV relativeFrom="paragraph">
              <wp:posOffset>1270</wp:posOffset>
            </wp:positionV>
            <wp:extent cx="209550" cy="209550"/>
            <wp:effectExtent l="0" t="0" r="0" b="0"/>
            <wp:wrapNone/>
            <wp:docPr id="1658093955" name="Graphic 3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93955" name="Graphic 3" descr="Magnifying glas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1C">
        <w:rPr>
          <w:rFonts w:ascii="Avenir Next LT Pro" w:hAnsi="Avenir Next LT Pro"/>
          <w:b/>
          <w:bCs/>
          <w:lang w:val="en-CA"/>
        </w:rPr>
        <w:t xml:space="preserve">      </w:t>
      </w:r>
      <w:r w:rsidR="00CD0CC4" w:rsidRPr="00CD0CC4">
        <w:rPr>
          <w:rFonts w:ascii="Avenir Next LT Pro" w:hAnsi="Avenir Next LT Pro"/>
          <w:b/>
          <w:bCs/>
        </w:rPr>
        <w:t>VALEUR GLOBALE</w:t>
      </w:r>
    </w:p>
    <w:p w14:paraId="3CF0B08A" w14:textId="529B7EA5" w:rsidR="000B3848" w:rsidRPr="00CC1F01" w:rsidRDefault="002B1943" w:rsidP="000B3848">
      <w:pPr>
        <w:rPr>
          <w:rFonts w:ascii="Avenir Next LT Pro" w:hAnsi="Avenir Next LT Pro"/>
          <w:lang w:val="en-CA"/>
        </w:rPr>
      </w:pPr>
      <w:r w:rsidRPr="00CC1F01">
        <w:rPr>
          <w:rFonts w:ascii="Avenir Next LT Pro" w:hAnsi="Avenir Next LT Pro"/>
          <w:noProof/>
          <w:lang w:val="en-CA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506992A" wp14:editId="3B990DC6">
            <wp:simplePos x="0" y="0"/>
            <wp:positionH relativeFrom="margin">
              <wp:posOffset>-23495</wp:posOffset>
            </wp:positionH>
            <wp:positionV relativeFrom="paragraph">
              <wp:posOffset>1811655</wp:posOffset>
            </wp:positionV>
            <wp:extent cx="252095" cy="252095"/>
            <wp:effectExtent l="0" t="0" r="0" b="0"/>
            <wp:wrapNone/>
            <wp:docPr id="498730597" name="Graphic 4" descr="Ser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0597" name="Graphic 498730597" descr="Server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F01" w:rsidRPr="00CC1F01">
        <w:t xml:space="preserve"> </w:t>
      </w:r>
      <w:r w:rsidR="00CC1F01" w:rsidRPr="00CC1F01">
        <w:rPr>
          <w:rFonts w:ascii="Avenir Next LT Pro" w:hAnsi="Avenir Next LT Pro"/>
          <w:noProof/>
          <w14:ligatures w14:val="standardContextual"/>
        </w:rPr>
        <w:t>Une gestion efficace et précise des changements est essentielle au succès des projets d’ingénierie. Plusieurs entreprises sont confrontées à des erreurs, des délais et des problèmes de communication en raison de processus de gestion des changements inadéquats. Les fonctionnalités Engineering Change Order (ECO) d’Autodesk Vault offrent une solution complète à ces défis, révolutionnant la façon dont votre équipe gère les changements et garantissant que vos projets restent sur la bonne voie et respectent les budgets établis.</w:t>
      </w:r>
      <w:r w:rsidR="00200A06" w:rsidRPr="00CC1F01">
        <w:rPr>
          <w:rFonts w:ascii="Avenir Next LT Pro" w:hAnsi="Avenir Next LT Pro"/>
          <w:lang w:val="en-CA"/>
        </w:rPr>
        <w:pict w14:anchorId="5B654513">
          <v:rect id="_x0000_i1039" style="width:468pt;height:1.2pt" o:hralign="center" o:hrstd="t" o:hr="t" fillcolor="#a0a0a0" stroked="f"/>
        </w:pict>
      </w:r>
    </w:p>
    <w:p w14:paraId="3017474D" w14:textId="156EF803" w:rsidR="0014555F" w:rsidRPr="000E4E1C" w:rsidRDefault="00AB6AF4" w:rsidP="00C928F0">
      <w:pPr>
        <w:spacing w:after="0"/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lang w:val="en-CA"/>
        </w:rPr>
        <w:t xml:space="preserve">       </w:t>
      </w:r>
      <w:r w:rsidR="00013A41" w:rsidRPr="00013A41">
        <w:rPr>
          <w:rFonts w:ascii="Avenir Next LT Pro" w:hAnsi="Avenir Next LT Pro"/>
          <w:b/>
          <w:bCs/>
        </w:rPr>
        <w:t>SERVICES &amp; LIVRABLES</w:t>
      </w:r>
    </w:p>
    <w:p w14:paraId="2A5EE414" w14:textId="77777777" w:rsidR="00C928F0" w:rsidRPr="000E4E1C" w:rsidRDefault="00C928F0" w:rsidP="00C928F0">
      <w:pPr>
        <w:spacing w:after="0"/>
        <w:rPr>
          <w:rFonts w:ascii="Avenir Next LT Pro" w:hAnsi="Avenir Next LT Pro"/>
          <w:b/>
          <w:bCs/>
          <w:lang w:val="en-CA"/>
        </w:rPr>
      </w:pPr>
    </w:p>
    <w:p w14:paraId="15B9818B" w14:textId="5FF2A0BE" w:rsidR="00285549" w:rsidRPr="000E4E1C" w:rsidRDefault="00B73EBD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 w:rsidRPr="00B73EBD">
        <w:rPr>
          <w:rFonts w:ascii="Avenir Next LT Pro" w:hAnsi="Avenir Next LT Pro"/>
        </w:rPr>
        <w:t>Session sur les Change Orders Vault</w:t>
      </w:r>
    </w:p>
    <w:p w14:paraId="08AB73E3" w14:textId="4295BBC6" w:rsidR="00285549" w:rsidRPr="000E4E1C" w:rsidRDefault="00130009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 w:rsidRPr="00130009">
        <w:rPr>
          <w:rFonts w:ascii="Avenir Next LT Pro" w:hAnsi="Avenir Next LT Pro"/>
        </w:rPr>
        <w:t>Configuration des Change Orders</w:t>
      </w:r>
    </w:p>
    <w:p w14:paraId="34897C65" w14:textId="53AF41CF" w:rsidR="00285549" w:rsidRPr="000E4E1C" w:rsidRDefault="0024187E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9" w:after="0" w:line="240" w:lineRule="auto"/>
        <w:ind w:left="887"/>
        <w:contextualSpacing w:val="0"/>
        <w:rPr>
          <w:rFonts w:ascii="Avenir Next LT Pro" w:hAnsi="Avenir Next LT Pro"/>
        </w:rPr>
      </w:pPr>
      <w:r w:rsidRPr="0024187E">
        <w:rPr>
          <w:rFonts w:ascii="Avenir Next LT Pro" w:hAnsi="Avenir Next LT Pro"/>
        </w:rPr>
        <w:t>Mappage des propriétés pour les ECO</w:t>
      </w:r>
      <w:r>
        <w:rPr>
          <w:rFonts w:ascii="Avenir Next LT Pro" w:hAnsi="Avenir Next LT Pro"/>
        </w:rPr>
        <w:t xml:space="preserve"> </w:t>
      </w:r>
    </w:p>
    <w:p w14:paraId="1975F99F" w14:textId="79477932" w:rsidR="00285549" w:rsidRPr="000E4E1C" w:rsidRDefault="00A6577C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 w:rsidRPr="00A6577C">
        <w:rPr>
          <w:rFonts w:ascii="Avenir Next LT Pro" w:hAnsi="Avenir Next LT Pro"/>
        </w:rPr>
        <w:t>Schéma de numérotation des ECO</w:t>
      </w:r>
    </w:p>
    <w:p w14:paraId="5DF614D0" w14:textId="09D52A15" w:rsidR="00285549" w:rsidRPr="000E4E1C" w:rsidRDefault="00A6577C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8" w:after="0" w:line="240" w:lineRule="auto"/>
        <w:ind w:left="887"/>
        <w:contextualSpacing w:val="0"/>
        <w:rPr>
          <w:rFonts w:ascii="Avenir Next LT Pro" w:hAnsi="Avenir Next LT Pro"/>
        </w:rPr>
      </w:pPr>
      <w:r w:rsidRPr="00A6577C">
        <w:rPr>
          <w:rFonts w:ascii="Avenir Next LT Pro" w:hAnsi="Avenir Next LT Pro"/>
        </w:rPr>
        <w:t>Configuration des flux d’approbation</w:t>
      </w:r>
    </w:p>
    <w:p w14:paraId="4489576A" w14:textId="061D6868" w:rsidR="00285549" w:rsidRPr="000E4E1C" w:rsidRDefault="001E57D4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9" w:after="0" w:line="240" w:lineRule="auto"/>
        <w:ind w:left="887"/>
        <w:contextualSpacing w:val="0"/>
        <w:rPr>
          <w:rFonts w:ascii="Avenir Next LT Pro" w:hAnsi="Avenir Next LT Pro"/>
        </w:rPr>
      </w:pPr>
      <w:r w:rsidRPr="001E57D4">
        <w:rPr>
          <w:rFonts w:ascii="Avenir Next LT Pro" w:hAnsi="Avenir Next LT Pro"/>
        </w:rPr>
        <w:t>Mappage des rôles utilisateurs</w:t>
      </w:r>
    </w:p>
    <w:p w14:paraId="63EB4DE7" w14:textId="696CF9BF" w:rsidR="00285549" w:rsidRPr="002732F2" w:rsidRDefault="001E57D4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 w:rsidRPr="001E57D4">
        <w:rPr>
          <w:rFonts w:ascii="Avenir Next LT Pro" w:hAnsi="Avenir Next LT Pro"/>
          <w:spacing w:val="-2"/>
        </w:rPr>
        <w:t>Notifications par courriel</w:t>
      </w:r>
    </w:p>
    <w:p w14:paraId="0A2BA6B6" w14:textId="16B739CD" w:rsidR="002732F2" w:rsidRPr="002732F2" w:rsidRDefault="00200A06" w:rsidP="002732F2">
      <w:pPr>
        <w:widowControl w:val="0"/>
        <w:tabs>
          <w:tab w:val="left" w:pos="887"/>
        </w:tabs>
        <w:autoSpaceDE w:val="0"/>
        <w:autoSpaceDN w:val="0"/>
        <w:spacing w:before="21"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  <w:lang w:val="en-CA"/>
        </w:rPr>
        <w:pict w14:anchorId="3C060E22">
          <v:rect id="_x0000_i1027" style="width:468pt;height:1.2pt" o:hralign="center" o:hrstd="t" o:hr="t" fillcolor="#a0a0a0" stroked="f"/>
        </w:pict>
      </w:r>
    </w:p>
    <w:p w14:paraId="66E1577A" w14:textId="27E6EC88" w:rsidR="000E4E1C" w:rsidRPr="000E4E1C" w:rsidRDefault="00125812" w:rsidP="000E4E1C">
      <w:pPr>
        <w:pStyle w:val="ListParagraph"/>
        <w:widowControl w:val="0"/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E7A0A4D" wp14:editId="557165C9">
            <wp:simplePos x="0" y="0"/>
            <wp:positionH relativeFrom="margin">
              <wp:posOffset>-47625</wp:posOffset>
            </wp:positionH>
            <wp:positionV relativeFrom="paragraph">
              <wp:posOffset>127635</wp:posOffset>
            </wp:positionV>
            <wp:extent cx="319087" cy="319087"/>
            <wp:effectExtent l="0" t="0" r="0" b="5080"/>
            <wp:wrapNone/>
            <wp:docPr id="2086764178" name="Graphic 2" descr="Circular flow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4178" name="Graphic 2086764178" descr="Circular flowchar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08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374E8" w14:textId="40A0A445" w:rsidR="00125812" w:rsidRPr="000E4E1C" w:rsidRDefault="00125812" w:rsidP="000B3848">
      <w:pPr>
        <w:rPr>
          <w:rFonts w:ascii="Avenir Next LT Pro" w:hAnsi="Avenir Next LT Pro"/>
          <w:b/>
          <w:bCs/>
          <w:lang w:val="en-CA"/>
        </w:rPr>
      </w:pPr>
      <w:r>
        <w:rPr>
          <w:rFonts w:ascii="Avenir Next LT Pro" w:hAnsi="Avenir Next LT Pro"/>
          <w:b/>
          <w:bCs/>
          <w:lang w:val="en-CA"/>
        </w:rPr>
        <w:t xml:space="preserve">         </w:t>
      </w:r>
      <w:r w:rsidR="006D204A" w:rsidRPr="006D204A">
        <w:rPr>
          <w:rFonts w:ascii="Avenir Next LT Pro" w:hAnsi="Avenir Next LT Pro"/>
          <w:b/>
          <w:bCs/>
        </w:rPr>
        <w:t>FEUILLE DE ROUTE D’IMPLANTATION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13"/>
        <w:gridCol w:w="5849"/>
      </w:tblGrid>
      <w:tr w:rsidR="009A3F92" w:rsidRPr="000E4E1C" w14:paraId="7D56F893" w14:textId="77777777" w:rsidTr="00C57577">
        <w:trPr>
          <w:trHeight w:val="500"/>
          <w:tblHeader/>
          <w:tblCellSpacing w:w="15" w:type="dxa"/>
        </w:trPr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79F53" w14:textId="77777777" w:rsidR="009A3F92" w:rsidRPr="000E4E1C" w:rsidRDefault="009A3F92" w:rsidP="00A51F62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0E4E1C">
              <w:rPr>
                <w:rFonts w:ascii="Avenir Next LT Pro" w:hAnsi="Avenir Next LT Pro"/>
                <w:b/>
                <w:bCs/>
                <w:lang w:val="en-CA"/>
              </w:rPr>
              <w:t>Phase</w:t>
            </w:r>
          </w:p>
        </w:tc>
        <w:tc>
          <w:tcPr>
            <w:tcW w:w="58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0439" w14:textId="473391FA" w:rsidR="009A3F92" w:rsidRPr="000E4E1C" w:rsidRDefault="00E770F9" w:rsidP="00A51F62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E70456">
              <w:rPr>
                <w:rFonts w:ascii="Avenir Next LT Pro" w:hAnsi="Avenir Next LT Pro"/>
                <w:b/>
                <w:bCs/>
              </w:rPr>
              <w:t>Résultat</w:t>
            </w:r>
          </w:p>
        </w:tc>
      </w:tr>
      <w:tr w:rsidR="009A3F92" w:rsidRPr="000E4E1C" w14:paraId="14CD43BA" w14:textId="77777777" w:rsidTr="00C57577">
        <w:trPr>
          <w:trHeight w:val="500"/>
          <w:tblCellSpacing w:w="15" w:type="dxa"/>
        </w:trPr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B1D5C" w14:textId="4D5E8DE3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1</w:t>
            </w:r>
          </w:p>
        </w:tc>
        <w:tc>
          <w:tcPr>
            <w:tcW w:w="58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212EF" w14:textId="27BEC455" w:rsidR="009A3F92" w:rsidRPr="000E4E1C" w:rsidRDefault="006D204A" w:rsidP="00A51F62">
            <w:pPr>
              <w:rPr>
                <w:rFonts w:ascii="Avenir Next LT Pro" w:hAnsi="Avenir Next LT Pro"/>
                <w:lang w:val="en-CA"/>
              </w:rPr>
            </w:pPr>
            <w:r w:rsidRPr="006D204A">
              <w:rPr>
                <w:rFonts w:ascii="Avenir Next LT Pro" w:hAnsi="Avenir Next LT Pro"/>
              </w:rPr>
              <w:t>Découverte des Change Orders</w:t>
            </w:r>
          </w:p>
        </w:tc>
      </w:tr>
      <w:tr w:rsidR="009A3F92" w:rsidRPr="000E4E1C" w14:paraId="065D0BAE" w14:textId="77777777" w:rsidTr="00C57577">
        <w:trPr>
          <w:trHeight w:val="488"/>
          <w:tblCellSpacing w:w="15" w:type="dxa"/>
        </w:trPr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BF570" w14:textId="3F7622B1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2</w:t>
            </w:r>
          </w:p>
        </w:tc>
        <w:tc>
          <w:tcPr>
            <w:tcW w:w="58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38C5F" w14:textId="16064689" w:rsidR="009A3F92" w:rsidRPr="000E4E1C" w:rsidRDefault="006D204A" w:rsidP="00A51F62">
            <w:pPr>
              <w:rPr>
                <w:rFonts w:ascii="Avenir Next LT Pro" w:hAnsi="Avenir Next LT Pro"/>
                <w:lang w:val="en-CA"/>
              </w:rPr>
            </w:pPr>
            <w:r w:rsidRPr="006D204A">
              <w:rPr>
                <w:rFonts w:ascii="Avenir Next LT Pro" w:hAnsi="Avenir Next LT Pro"/>
              </w:rPr>
              <w:t>Configuration des Change Orders</w:t>
            </w:r>
          </w:p>
        </w:tc>
      </w:tr>
      <w:tr w:rsidR="009A3F92" w:rsidRPr="000E4E1C" w14:paraId="66442BE4" w14:textId="77777777" w:rsidTr="00C57577">
        <w:trPr>
          <w:trHeight w:val="500"/>
          <w:tblCellSpacing w:w="15" w:type="dxa"/>
        </w:trPr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5CCA8" w14:textId="321DC95A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3</w:t>
            </w:r>
          </w:p>
        </w:tc>
        <w:tc>
          <w:tcPr>
            <w:tcW w:w="58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91696" w14:textId="78F2EA5A" w:rsidR="009A3F92" w:rsidRPr="000E4E1C" w:rsidRDefault="00330BD1" w:rsidP="00A51F62">
            <w:pPr>
              <w:rPr>
                <w:rFonts w:ascii="Avenir Next LT Pro" w:hAnsi="Avenir Next LT Pro"/>
                <w:lang w:val="en-CA"/>
              </w:rPr>
            </w:pPr>
            <w:r w:rsidRPr="00330BD1">
              <w:rPr>
                <w:rFonts w:ascii="Avenir Next LT Pro" w:hAnsi="Avenir Next LT Pro"/>
              </w:rPr>
              <w:t>Tests et validation</w:t>
            </w:r>
          </w:p>
        </w:tc>
      </w:tr>
      <w:tr w:rsidR="009A3F92" w:rsidRPr="000E4E1C" w14:paraId="71F7873D" w14:textId="77777777" w:rsidTr="00C57577">
        <w:trPr>
          <w:trHeight w:val="500"/>
          <w:tblCellSpacing w:w="15" w:type="dxa"/>
        </w:trPr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4BAE5" w14:textId="3BC24E7F" w:rsidR="009A3F92" w:rsidRPr="000E4E1C" w:rsidRDefault="009A3F92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4</w:t>
            </w:r>
          </w:p>
        </w:tc>
        <w:tc>
          <w:tcPr>
            <w:tcW w:w="58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C0B4" w14:textId="0DE47AB6" w:rsidR="009A3F92" w:rsidRPr="000E4E1C" w:rsidRDefault="0072229F" w:rsidP="00A51F62">
            <w:pPr>
              <w:rPr>
                <w:rFonts w:ascii="Avenir Next LT Pro" w:hAnsi="Avenir Next LT Pro"/>
                <w:lang w:val="en-CA"/>
              </w:rPr>
            </w:pPr>
            <w:r w:rsidRPr="0072229F">
              <w:rPr>
                <w:rFonts w:ascii="Avenir Next LT Pro" w:hAnsi="Avenir Next LT Pro"/>
              </w:rPr>
              <w:t>Formation des utilisateurs et administrateurs</w:t>
            </w:r>
            <w:r>
              <w:rPr>
                <w:rFonts w:ascii="Avenir Next LT Pro" w:hAnsi="Avenir Next LT Pro"/>
              </w:rPr>
              <w:t>sur les ECO</w:t>
            </w:r>
          </w:p>
        </w:tc>
      </w:tr>
      <w:tr w:rsidR="009A3F92" w:rsidRPr="000E4E1C" w14:paraId="08FDD30E" w14:textId="77777777" w:rsidTr="00C57577">
        <w:trPr>
          <w:trHeight w:val="500"/>
          <w:tblCellSpacing w:w="15" w:type="dxa"/>
        </w:trPr>
        <w:tc>
          <w:tcPr>
            <w:tcW w:w="126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24CC" w14:textId="7C1DBF84" w:rsidR="009A3F92" w:rsidRPr="000E4E1C" w:rsidRDefault="00FE7EFA" w:rsidP="006F32B7">
            <w:pPr>
              <w:jc w:val="center"/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 xml:space="preserve">5 </w:t>
            </w:r>
          </w:p>
        </w:tc>
        <w:tc>
          <w:tcPr>
            <w:tcW w:w="580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86D8" w14:textId="39050AF5" w:rsidR="009A3F92" w:rsidRPr="000E4E1C" w:rsidRDefault="005022FD" w:rsidP="00A51F62">
            <w:pPr>
              <w:rPr>
                <w:rFonts w:ascii="Avenir Next LT Pro" w:hAnsi="Avenir Next LT Pro"/>
                <w:lang w:val="en-CA"/>
              </w:rPr>
            </w:pPr>
            <w:r w:rsidRPr="005022FD">
              <w:rPr>
                <w:rFonts w:ascii="Avenir Next LT Pro" w:hAnsi="Avenir Next LT Pro"/>
              </w:rPr>
              <w:t>Support au démarrage à distance</w:t>
            </w:r>
          </w:p>
        </w:tc>
      </w:tr>
    </w:tbl>
    <w:p w14:paraId="00F78435" w14:textId="77777777" w:rsidR="009A3F92" w:rsidRPr="000E4E1C" w:rsidRDefault="009A3F92" w:rsidP="000B3848">
      <w:pPr>
        <w:rPr>
          <w:rFonts w:ascii="Avenir Next LT Pro" w:hAnsi="Avenir Next LT Pro"/>
          <w:lang w:val="en-CA"/>
        </w:rPr>
      </w:pPr>
    </w:p>
    <w:p w14:paraId="28D4023C" w14:textId="5D90DF52" w:rsidR="000B3848" w:rsidRPr="000B3848" w:rsidRDefault="000B3848" w:rsidP="000B3848">
      <w:pPr>
        <w:rPr>
          <w:lang w:val="en-CA"/>
        </w:rPr>
      </w:pPr>
    </w:p>
    <w:p w14:paraId="3CE2B517" w14:textId="1F9AC01C" w:rsidR="00EA1FFF" w:rsidRPr="000B3848" w:rsidRDefault="00EA1FFF" w:rsidP="000B3848"/>
    <w:sectPr w:rsidR="00EA1FFF" w:rsidRPr="000B3848" w:rsidSect="000B38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42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16B8" w14:textId="77777777" w:rsidR="00200A06" w:rsidRDefault="00200A06" w:rsidP="00183BE2">
      <w:pPr>
        <w:spacing w:after="0" w:line="240" w:lineRule="auto"/>
      </w:pPr>
      <w:r>
        <w:separator/>
      </w:r>
    </w:p>
  </w:endnote>
  <w:endnote w:type="continuationSeparator" w:id="0">
    <w:p w14:paraId="4E192ABB" w14:textId="77777777" w:rsidR="00200A06" w:rsidRDefault="00200A06" w:rsidP="0018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0018" w14:textId="77777777" w:rsidR="006F32B7" w:rsidRDefault="006F3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AEFC3" w14:textId="68A85A87" w:rsidR="00B36E86" w:rsidRDefault="00C316C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5AD3A1BE" wp14:editId="3E620D52">
              <wp:simplePos x="0" y="0"/>
              <wp:positionH relativeFrom="column">
                <wp:posOffset>-2405380</wp:posOffset>
              </wp:positionH>
              <wp:positionV relativeFrom="paragraph">
                <wp:posOffset>5398</wp:posOffset>
              </wp:positionV>
              <wp:extent cx="1495425" cy="562602"/>
              <wp:effectExtent l="0" t="0" r="0" b="0"/>
              <wp:wrapNone/>
              <wp:docPr id="45996709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100" b="105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5425" cy="5626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6E86">
          <w:fldChar w:fldCharType="begin"/>
        </w:r>
        <w:r w:rsidR="00B36E86">
          <w:instrText xml:space="preserve"> PAGE   \* MERGEFORMAT </w:instrText>
        </w:r>
        <w:r w:rsidR="00B36E86">
          <w:fldChar w:fldCharType="separate"/>
        </w:r>
        <w:r w:rsidR="00B36E86">
          <w:rPr>
            <w:noProof/>
          </w:rPr>
          <w:t>2</w:t>
        </w:r>
        <w:r w:rsidR="00B36E86">
          <w:rPr>
            <w:noProof/>
          </w:rPr>
          <w:fldChar w:fldCharType="end"/>
        </w:r>
      </w:p>
    </w:sdtContent>
  </w:sdt>
  <w:p w14:paraId="40007F0B" w14:textId="77777777" w:rsidR="00B36E86" w:rsidRDefault="00B36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420D" w14:textId="77777777" w:rsidR="006F32B7" w:rsidRDefault="006F3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1352" w14:textId="77777777" w:rsidR="00200A06" w:rsidRDefault="00200A06" w:rsidP="00183BE2">
      <w:pPr>
        <w:spacing w:after="0" w:line="240" w:lineRule="auto"/>
      </w:pPr>
      <w:r>
        <w:separator/>
      </w:r>
    </w:p>
  </w:footnote>
  <w:footnote w:type="continuationSeparator" w:id="0">
    <w:p w14:paraId="23F7D575" w14:textId="77777777" w:rsidR="00200A06" w:rsidRDefault="00200A06" w:rsidP="0018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E33F" w14:textId="77777777" w:rsidR="006F32B7" w:rsidRDefault="006F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E3A" w14:textId="02206E6C" w:rsidR="007461FB" w:rsidRDefault="005C2D2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3CD6B83F" wp14:editId="61A0DBE5">
          <wp:simplePos x="0" y="0"/>
          <wp:positionH relativeFrom="page">
            <wp:posOffset>292916</wp:posOffset>
          </wp:positionH>
          <wp:positionV relativeFrom="paragraph">
            <wp:posOffset>-128905</wp:posOffset>
          </wp:positionV>
          <wp:extent cx="1528571" cy="266699"/>
          <wp:effectExtent l="0" t="0" r="0" b="635"/>
          <wp:wrapNone/>
          <wp:docPr id="185598147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223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571" cy="266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E44">
      <w:rPr>
        <w:noProof/>
      </w:rPr>
      <w:drawing>
        <wp:anchor distT="0" distB="0" distL="114300" distR="114300" simplePos="0" relativeHeight="251659264" behindDoc="1" locked="0" layoutInCell="1" allowOverlap="1" wp14:anchorId="6A014B8D" wp14:editId="73BB6AB9">
          <wp:simplePos x="0" y="0"/>
          <wp:positionH relativeFrom="page">
            <wp:posOffset>9525</wp:posOffset>
          </wp:positionH>
          <wp:positionV relativeFrom="page">
            <wp:posOffset>-9525</wp:posOffset>
          </wp:positionV>
          <wp:extent cx="7765657" cy="10047603"/>
          <wp:effectExtent l="0" t="0" r="6985" b="0"/>
          <wp:wrapNone/>
          <wp:docPr id="845239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23997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657" cy="1004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FFF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F8D29AE" wp14:editId="0515B3C6">
              <wp:simplePos x="0" y="0"/>
              <wp:positionH relativeFrom="column">
                <wp:posOffset>-2529205</wp:posOffset>
              </wp:positionH>
              <wp:positionV relativeFrom="margin">
                <wp:posOffset>-62865</wp:posOffset>
              </wp:positionV>
              <wp:extent cx="1914525" cy="7466330"/>
              <wp:effectExtent l="0" t="0" r="0" b="1270"/>
              <wp:wrapNone/>
              <wp:docPr id="11257591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7466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97091D" w14:textId="35AF9DF6" w:rsidR="005E4EA1" w:rsidRDefault="005E4EA1" w:rsidP="00575C27">
                          <w:pPr>
                            <w:spacing w:line="240" w:lineRule="auto"/>
                            <w:rPr>
                              <w:rFonts w:ascii="Avenir Next LT Pro" w:eastAsiaTheme="majorEastAsia" w:hAnsi="Avenir Next LT Pro" w:cstheme="majorBidi"/>
                              <w:b/>
                              <w:bCs/>
                              <w:color w:val="FFFFFF" w:themeColor="background1"/>
                              <w:spacing w:val="-9"/>
                              <w:kern w:val="28"/>
                            </w:rPr>
                          </w:pPr>
                          <w:r>
                            <w:rPr>
                              <w:rFonts w:ascii="Avenir Next LT Pro" w:eastAsiaTheme="majorEastAsia" w:hAnsi="Avenir Next LT Pro" w:cstheme="majorBidi"/>
                              <w:b/>
                              <w:bCs/>
                              <w:color w:val="FFFFFF" w:themeColor="background1"/>
                              <w:spacing w:val="-9"/>
                              <w:kern w:val="28"/>
                            </w:rPr>
                            <w:t xml:space="preserve">Vault </w:t>
                          </w:r>
                          <w:r w:rsidRPr="005E4EA1">
                            <w:rPr>
                              <w:rFonts w:ascii="Avenir Next LT Pro" w:eastAsiaTheme="majorEastAsia" w:hAnsi="Avenir Next LT Pro" w:cstheme="majorBidi"/>
                              <w:b/>
                              <w:bCs/>
                              <w:color w:val="FFFFFF" w:themeColor="background1"/>
                              <w:spacing w:val="-9"/>
                              <w:kern w:val="28"/>
                            </w:rPr>
                            <w:t>Professional – Gestion des ordres de changement d’ingénierie (</w:t>
                          </w:r>
                          <w:r>
                            <w:rPr>
                              <w:rFonts w:ascii="Avenir Next LT Pro" w:eastAsiaTheme="majorEastAsia" w:hAnsi="Avenir Next LT Pro" w:cstheme="majorBidi"/>
                              <w:b/>
                              <w:bCs/>
                              <w:color w:val="FFFFFF" w:themeColor="background1"/>
                              <w:spacing w:val="-9"/>
                              <w:kern w:val="28"/>
                            </w:rPr>
                            <w:t>ECO</w:t>
                          </w:r>
                          <w:r w:rsidRPr="005E4EA1">
                            <w:rPr>
                              <w:rFonts w:ascii="Avenir Next LT Pro" w:eastAsiaTheme="majorEastAsia" w:hAnsi="Avenir Next LT Pro" w:cstheme="majorBidi"/>
                              <w:b/>
                              <w:bCs/>
                              <w:color w:val="FFFFFF" w:themeColor="background1"/>
                              <w:spacing w:val="-9"/>
                              <w:kern w:val="28"/>
                            </w:rPr>
                            <w:t>)</w:t>
                          </w:r>
                        </w:p>
                        <w:p w14:paraId="43A1D108" w14:textId="2B0AF649" w:rsidR="00575C27" w:rsidRDefault="001E78F5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</w:rPr>
                            <w:t>Date / Version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: 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2026-04-20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 | </w:t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V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1.0</w:t>
                          </w:r>
                        </w:p>
                        <w:p w14:paraId="4B9BF8FD" w14:textId="31051578" w:rsidR="00B33839" w:rsidRDefault="00200A06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39ABE8CA">
                              <v:rect id="_x0000_i1029" style="width:131.55pt;height:.65pt" o:hrpct="362" o:hralign="center" o:hrstd="t" o:hr="t" fillcolor="#a0a0a0" stroked="f"/>
                            </w:pict>
                          </w:r>
                        </w:p>
                        <w:p w14:paraId="25FC644E" w14:textId="77777777" w:rsidR="006A5CC5" w:rsidRPr="006A5CC5" w:rsidRDefault="00575C27" w:rsidP="006A5CC5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br/>
                          </w:r>
                          <w:r w:rsidR="006A5CC5" w:rsidRPr="006A5CC5"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Prérequis système :</w:t>
                          </w:r>
                          <w:r w:rsidR="006A5CC5" w:rsidRPr="006A5CC5"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br/>
                          </w:r>
                          <w:r w:rsidR="006A5CC5" w:rsidRPr="006A5CC5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  <w:lang w:val="en-CA"/>
                            </w:rPr>
                            <w:t>Utilisation de Vault Professional avec les catégories et la gestion des cycles de vie</w:t>
                          </w:r>
                        </w:p>
                        <w:p w14:paraId="5EA0D302" w14:textId="77777777" w:rsidR="006A5CC5" w:rsidRPr="006A5CC5" w:rsidRDefault="006A5CC5" w:rsidP="006A5CC5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  <w:lang w:val="en-CA"/>
                            </w:rPr>
                          </w:pPr>
                          <w:r w:rsidRPr="006A5CC5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  <w:lang w:val="en-CA"/>
                            </w:rPr>
                            <w:t>Contrôle des révisions</w:t>
                          </w:r>
                        </w:p>
                        <w:p w14:paraId="20C2D6B9" w14:textId="5ACBE94A" w:rsidR="00B33839" w:rsidRDefault="00B33839" w:rsidP="006A5CC5">
                          <w:pPr>
                            <w:spacing w:line="240" w:lineRule="auto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37264719" w14:textId="6B3B14B4" w:rsidR="00B33839" w:rsidRDefault="00200A06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52824919">
                              <v:rect id="_x0000_i1031" style="width:131.55pt;height:.65pt" o:hrpct="362" o:hralign="center" o:hrstd="t" o:hr="t" fillcolor="#a0a0a0" stroked="f"/>
                            </w:pict>
                          </w:r>
                        </w:p>
                        <w:p w14:paraId="346D8869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1F9566B2" w14:textId="2DA03476" w:rsidR="00B33839" w:rsidRPr="006A5CC5" w:rsidRDefault="006A5CC5" w:rsidP="00575C27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</w:pPr>
                          <w:r w:rsidRPr="006A5CC5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  <w:t>Échéancier :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  <w:br/>
                          </w:r>
                          <w:r w:rsidRPr="006A5CC5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  <w:br/>
                            <w:t xml:space="preserve">Durée : </w:t>
                          </w:r>
                          <w:r w:rsidRPr="006A5CC5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2 semaines</w:t>
                          </w:r>
                          <w:r w:rsidRPr="006A5CC5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  <w:br/>
                            <w:t xml:space="preserve">Livraison : </w:t>
                          </w:r>
                          <w:r w:rsidRPr="006A5CC5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À distance (sur site optionnel)</w:t>
                          </w:r>
                          <w:r w:rsidR="00200A06" w:rsidRPr="006A5CC5">
                            <w:rPr>
                              <w:rFonts w:ascii="Avenir Next LT Pro" w:hAnsi="Avenir Next LT Pro"/>
                              <w:lang w:val="en-CA"/>
                            </w:rPr>
                            <w:pict w14:anchorId="41918824">
                              <v:rect id="_x0000_i1033" style="width:131.55pt;height:.65pt" o:hrpct="362" o:hralign="center" o:hrstd="t" o:hr="t" fillcolor="#a0a0a0" stroked="f"/>
                            </w:pict>
                          </w:r>
                        </w:p>
                        <w:p w14:paraId="46C4F965" w14:textId="46401AA3" w:rsidR="00575C27" w:rsidRPr="000B3848" w:rsidRDefault="008F58FF" w:rsidP="001E78F5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8F58FF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  <w:t>Tarification :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  <w:br/>
                          </w:r>
                          <w:r w:rsidRPr="008F58FF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  <w:br/>
                          </w:r>
                          <w:r w:rsidRPr="008F58FF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Vault Professional – Gestion des ordres de changement d’ingénierie (Engineering Change Order)</w:t>
                          </w:r>
                        </w:p>
                        <w:p w14:paraId="3286A897" w14:textId="3DD35F2E" w:rsidR="00EA1FFF" w:rsidRPr="000B3848" w:rsidRDefault="00EA1FFF" w:rsidP="00EA1FFF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D2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99.15pt;margin-top:-4.95pt;width:150.75pt;height:58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" filled="f" stroked="f" strokeweight=".5pt">
              <v:textbox>
                <w:txbxContent>
                  <w:p w14:paraId="5E97091D" w14:textId="35AF9DF6" w:rsidR="005E4EA1" w:rsidRDefault="005E4EA1" w:rsidP="00575C27">
                    <w:pPr>
                      <w:spacing w:line="240" w:lineRule="auto"/>
                      <w:rPr>
                        <w:rFonts w:ascii="Avenir Next LT Pro" w:eastAsiaTheme="majorEastAsia" w:hAnsi="Avenir Next LT Pro" w:cstheme="majorBidi"/>
                        <w:b/>
                        <w:bCs/>
                        <w:color w:val="FFFFFF" w:themeColor="background1"/>
                        <w:spacing w:val="-9"/>
                        <w:kern w:val="28"/>
                      </w:rPr>
                    </w:pPr>
                    <w:r>
                      <w:rPr>
                        <w:rFonts w:ascii="Avenir Next LT Pro" w:eastAsiaTheme="majorEastAsia" w:hAnsi="Avenir Next LT Pro" w:cstheme="majorBidi"/>
                        <w:b/>
                        <w:bCs/>
                        <w:color w:val="FFFFFF" w:themeColor="background1"/>
                        <w:spacing w:val="-9"/>
                        <w:kern w:val="28"/>
                      </w:rPr>
                      <w:t xml:space="preserve">Vault </w:t>
                    </w:r>
                    <w:r w:rsidRPr="005E4EA1">
                      <w:rPr>
                        <w:rFonts w:ascii="Avenir Next LT Pro" w:eastAsiaTheme="majorEastAsia" w:hAnsi="Avenir Next LT Pro" w:cstheme="majorBidi"/>
                        <w:b/>
                        <w:bCs/>
                        <w:color w:val="FFFFFF" w:themeColor="background1"/>
                        <w:spacing w:val="-9"/>
                        <w:kern w:val="28"/>
                      </w:rPr>
                      <w:t>Professional – Gestion des ordres de changement d’ingénierie (</w:t>
                    </w:r>
                    <w:r>
                      <w:rPr>
                        <w:rFonts w:ascii="Avenir Next LT Pro" w:eastAsiaTheme="majorEastAsia" w:hAnsi="Avenir Next LT Pro" w:cstheme="majorBidi"/>
                        <w:b/>
                        <w:bCs/>
                        <w:color w:val="FFFFFF" w:themeColor="background1"/>
                        <w:spacing w:val="-9"/>
                        <w:kern w:val="28"/>
                      </w:rPr>
                      <w:t>ECO</w:t>
                    </w:r>
                    <w:r w:rsidRPr="005E4EA1">
                      <w:rPr>
                        <w:rFonts w:ascii="Avenir Next LT Pro" w:eastAsiaTheme="majorEastAsia" w:hAnsi="Avenir Next LT Pro" w:cstheme="majorBidi"/>
                        <w:b/>
                        <w:bCs/>
                        <w:color w:val="FFFFFF" w:themeColor="background1"/>
                        <w:spacing w:val="-9"/>
                        <w:kern w:val="28"/>
                      </w:rPr>
                      <w:t>)</w:t>
                    </w:r>
                  </w:p>
                  <w:p w14:paraId="43A1D108" w14:textId="2B0AF649" w:rsidR="00575C27" w:rsidRDefault="001E78F5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Pr="000B3848"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</w:rPr>
                      <w:t>Date / Version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: 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2026-04-20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 | </w:t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V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1.0</w:t>
                    </w:r>
                  </w:p>
                  <w:p w14:paraId="4B9BF8FD" w14:textId="31051578" w:rsidR="00B33839" w:rsidRDefault="00200A06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39ABE8CA">
                        <v:rect id="_x0000_i1029" style="width:131.55pt;height:.65pt" o:hrpct="362" o:hralign="center" o:hrstd="t" o:hr="t" fillcolor="#a0a0a0" stroked="f"/>
                      </w:pict>
                    </w:r>
                  </w:p>
                  <w:p w14:paraId="25FC644E" w14:textId="77777777" w:rsidR="006A5CC5" w:rsidRPr="006A5CC5" w:rsidRDefault="00575C27" w:rsidP="006A5CC5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  <w:lang w:val="en-CA"/>
                      </w:rPr>
                      <w:br/>
                    </w:r>
                    <w:r w:rsidR="006A5CC5" w:rsidRPr="006A5CC5"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  <w:lang w:val="en-CA"/>
                      </w:rPr>
                      <w:t>Prérequis système :</w:t>
                    </w:r>
                    <w:r w:rsidR="006A5CC5" w:rsidRPr="006A5CC5"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  <w:lang w:val="en-CA"/>
                      </w:rPr>
                      <w:br/>
                    </w:r>
                    <w:r w:rsidR="006A5CC5" w:rsidRPr="006A5CC5">
                      <w:rPr>
                        <w:rFonts w:ascii="Avenir Next LT Pro" w:eastAsia="MS Mincho" w:hAnsi="Avenir Next LT Pro" w:cs="Calibri"/>
                        <w:color w:val="FFFFFF" w:themeColor="background1"/>
                        <w:lang w:val="en-CA"/>
                      </w:rPr>
                      <w:t>Utilisation de Vault Professional avec les catégories et la gestion des cycles de vie</w:t>
                    </w:r>
                  </w:p>
                  <w:p w14:paraId="5EA0D302" w14:textId="77777777" w:rsidR="006A5CC5" w:rsidRPr="006A5CC5" w:rsidRDefault="006A5CC5" w:rsidP="006A5CC5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  <w:lang w:val="en-CA"/>
                      </w:rPr>
                    </w:pPr>
                    <w:r w:rsidRPr="006A5CC5">
                      <w:rPr>
                        <w:rFonts w:ascii="Avenir Next LT Pro" w:eastAsia="MS Mincho" w:hAnsi="Avenir Next LT Pro" w:cs="Calibri"/>
                        <w:color w:val="FFFFFF" w:themeColor="background1"/>
                        <w:lang w:val="en-CA"/>
                      </w:rPr>
                      <w:t>Contrôle des révisions</w:t>
                    </w:r>
                  </w:p>
                  <w:p w14:paraId="20C2D6B9" w14:textId="5ACBE94A" w:rsidR="00B33839" w:rsidRDefault="00B33839" w:rsidP="006A5CC5">
                    <w:pPr>
                      <w:spacing w:line="240" w:lineRule="auto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37264719" w14:textId="6B3B14B4" w:rsidR="00B33839" w:rsidRDefault="00200A06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52824919">
                        <v:rect id="_x0000_i1031" style="width:131.55pt;height:.65pt" o:hrpct="362" o:hralign="center" o:hrstd="t" o:hr="t" fillcolor="#a0a0a0" stroked="f"/>
                      </w:pict>
                    </w:r>
                  </w:p>
                  <w:p w14:paraId="346D8869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1F9566B2" w14:textId="2DA03476" w:rsidR="00B33839" w:rsidRPr="006A5CC5" w:rsidRDefault="006A5CC5" w:rsidP="00575C27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</w:pPr>
                    <w:r w:rsidRPr="006A5CC5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  <w:t>Échéancier :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  <w:br/>
                    </w:r>
                    <w:r w:rsidRPr="006A5CC5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  <w:br/>
                      <w:t xml:space="preserve">Durée : </w:t>
                    </w:r>
                    <w:r w:rsidRPr="006A5CC5">
                      <w:rPr>
                        <w:rFonts w:ascii="Avenir Next LT Pro" w:hAnsi="Avenir Next LT Pro"/>
                        <w:color w:val="FFFFFF" w:themeColor="background1"/>
                      </w:rPr>
                      <w:t>2 semaines</w:t>
                    </w:r>
                    <w:r w:rsidRPr="006A5CC5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  <w:br/>
                      <w:t xml:space="preserve">Livraison : </w:t>
                    </w:r>
                    <w:r w:rsidRPr="006A5CC5">
                      <w:rPr>
                        <w:rFonts w:ascii="Avenir Next LT Pro" w:hAnsi="Avenir Next LT Pro"/>
                        <w:color w:val="FFFFFF" w:themeColor="background1"/>
                      </w:rPr>
                      <w:t>À distance (sur site optionnel)</w:t>
                    </w:r>
                    <w:r w:rsidR="00200A06" w:rsidRPr="006A5CC5">
                      <w:rPr>
                        <w:rFonts w:ascii="Avenir Next LT Pro" w:hAnsi="Avenir Next LT Pro"/>
                        <w:lang w:val="en-CA"/>
                      </w:rPr>
                      <w:pict w14:anchorId="41918824">
                        <v:rect id="_x0000_i1033" style="width:131.55pt;height:.65pt" o:hrpct="362" o:hralign="center" o:hrstd="t" o:hr="t" fillcolor="#a0a0a0" stroked="f"/>
                      </w:pict>
                    </w:r>
                  </w:p>
                  <w:p w14:paraId="46C4F965" w14:textId="46401AA3" w:rsidR="00575C27" w:rsidRPr="000B3848" w:rsidRDefault="008F58FF" w:rsidP="001E78F5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8F58FF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  <w:t>Tarification :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  <w:br/>
                    </w:r>
                    <w:r w:rsidRPr="008F58FF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  <w:br/>
                    </w:r>
                    <w:r w:rsidRPr="008F58FF">
                      <w:rPr>
                        <w:rFonts w:ascii="Avenir Next LT Pro" w:hAnsi="Avenir Next LT Pro"/>
                        <w:color w:val="FFFFFF" w:themeColor="background1"/>
                      </w:rPr>
                      <w:t>Vault Professional – Gestion des ordres de changement d’ingénierie (Engineering Change Order)</w:t>
                    </w:r>
                  </w:p>
                  <w:p w14:paraId="3286A897" w14:textId="3DD35F2E" w:rsidR="00EA1FFF" w:rsidRPr="000B3848" w:rsidRDefault="00EA1FFF" w:rsidP="00EA1FFF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</w:p>
  <w:p w14:paraId="733211DC" w14:textId="271841FD" w:rsidR="00183BE2" w:rsidRDefault="007461FB" w:rsidP="007461FB">
    <w:pPr>
      <w:pStyle w:val="Header"/>
      <w:tabs>
        <w:tab w:val="clear" w:pos="4680"/>
        <w:tab w:val="clear" w:pos="9360"/>
        <w:tab w:val="left" w:pos="6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C468" w14:textId="77777777" w:rsidR="006F32B7" w:rsidRDefault="006F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664"/>
    <w:multiLevelType w:val="multilevel"/>
    <w:tmpl w:val="A2C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95A59"/>
    <w:multiLevelType w:val="multilevel"/>
    <w:tmpl w:val="BD3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59EA"/>
    <w:multiLevelType w:val="multilevel"/>
    <w:tmpl w:val="45F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BEC"/>
    <w:multiLevelType w:val="multilevel"/>
    <w:tmpl w:val="04D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04AF4"/>
    <w:multiLevelType w:val="multilevel"/>
    <w:tmpl w:val="6E4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61CA7"/>
    <w:multiLevelType w:val="hybridMultilevel"/>
    <w:tmpl w:val="C1B27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37B"/>
    <w:multiLevelType w:val="multilevel"/>
    <w:tmpl w:val="C060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B68C5"/>
    <w:multiLevelType w:val="multilevel"/>
    <w:tmpl w:val="3CD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951C2"/>
    <w:multiLevelType w:val="multilevel"/>
    <w:tmpl w:val="680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E07F3"/>
    <w:multiLevelType w:val="hybridMultilevel"/>
    <w:tmpl w:val="83C6EB7E"/>
    <w:lvl w:ilvl="0" w:tplc="9516DF06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A2E"/>
    <w:multiLevelType w:val="hybridMultilevel"/>
    <w:tmpl w:val="E0BAE86E"/>
    <w:lvl w:ilvl="0" w:tplc="4EDCAF0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8C998">
      <w:numFmt w:val="bullet"/>
      <w:lvlText w:val=""/>
      <w:lvlJc w:val="left"/>
      <w:pPr>
        <w:ind w:left="6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DAC56F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3" w:tplc="63869966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4" w:tplc="8D2428DA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5" w:tplc="A82C1826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6" w:tplc="E81E811A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29C03930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8" w:tplc="341A42F4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7A425E"/>
    <w:multiLevelType w:val="hybridMultilevel"/>
    <w:tmpl w:val="9DA8B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E451E"/>
    <w:multiLevelType w:val="multilevel"/>
    <w:tmpl w:val="8D3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D644E"/>
    <w:multiLevelType w:val="multilevel"/>
    <w:tmpl w:val="995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53B1D"/>
    <w:multiLevelType w:val="multilevel"/>
    <w:tmpl w:val="191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639A2"/>
    <w:multiLevelType w:val="multilevel"/>
    <w:tmpl w:val="6AA0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E123B"/>
    <w:multiLevelType w:val="multilevel"/>
    <w:tmpl w:val="2B42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81F7C"/>
    <w:multiLevelType w:val="hybridMultilevel"/>
    <w:tmpl w:val="11623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74EC9"/>
    <w:multiLevelType w:val="multilevel"/>
    <w:tmpl w:val="68F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344FE"/>
    <w:multiLevelType w:val="multilevel"/>
    <w:tmpl w:val="F07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370036">
    <w:abstractNumId w:val="8"/>
  </w:num>
  <w:num w:numId="2" w16cid:durableId="477915032">
    <w:abstractNumId w:val="14"/>
  </w:num>
  <w:num w:numId="3" w16cid:durableId="1776703820">
    <w:abstractNumId w:val="3"/>
  </w:num>
  <w:num w:numId="4" w16cid:durableId="1739789550">
    <w:abstractNumId w:val="12"/>
  </w:num>
  <w:num w:numId="5" w16cid:durableId="473183821">
    <w:abstractNumId w:val="2"/>
  </w:num>
  <w:num w:numId="6" w16cid:durableId="272127078">
    <w:abstractNumId w:val="0"/>
  </w:num>
  <w:num w:numId="7" w16cid:durableId="737089718">
    <w:abstractNumId w:val="4"/>
  </w:num>
  <w:num w:numId="8" w16cid:durableId="2025396157">
    <w:abstractNumId w:val="6"/>
  </w:num>
  <w:num w:numId="9" w16cid:durableId="2000697175">
    <w:abstractNumId w:val="17"/>
  </w:num>
  <w:num w:numId="10" w16cid:durableId="1600064981">
    <w:abstractNumId w:val="11"/>
  </w:num>
  <w:num w:numId="11" w16cid:durableId="1749843200">
    <w:abstractNumId w:val="13"/>
  </w:num>
  <w:num w:numId="12" w16cid:durableId="1413893677">
    <w:abstractNumId w:val="7"/>
  </w:num>
  <w:num w:numId="13" w16cid:durableId="1618678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282190">
    <w:abstractNumId w:val="19"/>
  </w:num>
  <w:num w:numId="15" w16cid:durableId="464471619">
    <w:abstractNumId w:val="18"/>
  </w:num>
  <w:num w:numId="16" w16cid:durableId="1856651173">
    <w:abstractNumId w:val="1"/>
  </w:num>
  <w:num w:numId="17" w16cid:durableId="172837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004409">
    <w:abstractNumId w:val="10"/>
  </w:num>
  <w:num w:numId="19" w16cid:durableId="1437362700">
    <w:abstractNumId w:val="5"/>
  </w:num>
  <w:num w:numId="20" w16cid:durableId="76024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E2"/>
    <w:rsid w:val="00013A41"/>
    <w:rsid w:val="000539E8"/>
    <w:rsid w:val="0005443A"/>
    <w:rsid w:val="0008414F"/>
    <w:rsid w:val="000B3848"/>
    <w:rsid w:val="000E4E1C"/>
    <w:rsid w:val="000F1BEB"/>
    <w:rsid w:val="00125812"/>
    <w:rsid w:val="00130009"/>
    <w:rsid w:val="0014555F"/>
    <w:rsid w:val="00145932"/>
    <w:rsid w:val="00183BE2"/>
    <w:rsid w:val="001D197C"/>
    <w:rsid w:val="001E57D4"/>
    <w:rsid w:val="001E78F5"/>
    <w:rsid w:val="00200A06"/>
    <w:rsid w:val="00210960"/>
    <w:rsid w:val="00215178"/>
    <w:rsid w:val="002177E2"/>
    <w:rsid w:val="0024187E"/>
    <w:rsid w:val="002467B4"/>
    <w:rsid w:val="00247120"/>
    <w:rsid w:val="00270671"/>
    <w:rsid w:val="002732F2"/>
    <w:rsid w:val="00285549"/>
    <w:rsid w:val="002A26D1"/>
    <w:rsid w:val="002B1943"/>
    <w:rsid w:val="002C69FF"/>
    <w:rsid w:val="00330BD1"/>
    <w:rsid w:val="00330F8A"/>
    <w:rsid w:val="00337FCA"/>
    <w:rsid w:val="00352FF5"/>
    <w:rsid w:val="003C5AC5"/>
    <w:rsid w:val="003E0220"/>
    <w:rsid w:val="00446A88"/>
    <w:rsid w:val="00447726"/>
    <w:rsid w:val="00472DCC"/>
    <w:rsid w:val="004E4FA7"/>
    <w:rsid w:val="005022FD"/>
    <w:rsid w:val="00532A4B"/>
    <w:rsid w:val="0055347C"/>
    <w:rsid w:val="00575C27"/>
    <w:rsid w:val="0058595C"/>
    <w:rsid w:val="005C2D2C"/>
    <w:rsid w:val="005E4EA1"/>
    <w:rsid w:val="006372CE"/>
    <w:rsid w:val="00637E61"/>
    <w:rsid w:val="00651BAD"/>
    <w:rsid w:val="00664C23"/>
    <w:rsid w:val="006A5CC5"/>
    <w:rsid w:val="006B1071"/>
    <w:rsid w:val="006D204A"/>
    <w:rsid w:val="006F32B7"/>
    <w:rsid w:val="0072229F"/>
    <w:rsid w:val="007461FB"/>
    <w:rsid w:val="00783493"/>
    <w:rsid w:val="00792F1D"/>
    <w:rsid w:val="007E7FC5"/>
    <w:rsid w:val="008274C2"/>
    <w:rsid w:val="008613C0"/>
    <w:rsid w:val="00872011"/>
    <w:rsid w:val="0089741D"/>
    <w:rsid w:val="008F5608"/>
    <w:rsid w:val="008F58FF"/>
    <w:rsid w:val="009A2C03"/>
    <w:rsid w:val="009A3F92"/>
    <w:rsid w:val="00A37D61"/>
    <w:rsid w:val="00A6577C"/>
    <w:rsid w:val="00A81414"/>
    <w:rsid w:val="00AB6AF4"/>
    <w:rsid w:val="00AC11A5"/>
    <w:rsid w:val="00AC68B1"/>
    <w:rsid w:val="00AD0D73"/>
    <w:rsid w:val="00B33839"/>
    <w:rsid w:val="00B36E86"/>
    <w:rsid w:val="00B73EBD"/>
    <w:rsid w:val="00BA418D"/>
    <w:rsid w:val="00BB2460"/>
    <w:rsid w:val="00C17603"/>
    <w:rsid w:val="00C316CA"/>
    <w:rsid w:val="00C57577"/>
    <w:rsid w:val="00C70C26"/>
    <w:rsid w:val="00C76E44"/>
    <w:rsid w:val="00C928F0"/>
    <w:rsid w:val="00CC1F01"/>
    <w:rsid w:val="00CD0CC4"/>
    <w:rsid w:val="00CF7511"/>
    <w:rsid w:val="00D0113A"/>
    <w:rsid w:val="00D30818"/>
    <w:rsid w:val="00DA1C0D"/>
    <w:rsid w:val="00DB56AA"/>
    <w:rsid w:val="00DC6508"/>
    <w:rsid w:val="00DE0BB3"/>
    <w:rsid w:val="00E770F9"/>
    <w:rsid w:val="00E86A78"/>
    <w:rsid w:val="00EA1FFF"/>
    <w:rsid w:val="00EB67CF"/>
    <w:rsid w:val="00EC2D28"/>
    <w:rsid w:val="00ED6BAB"/>
    <w:rsid w:val="00F3038E"/>
    <w:rsid w:val="00F57EC3"/>
    <w:rsid w:val="00FA391E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8BF4"/>
  <w15:chartTrackingRefBased/>
  <w15:docId w15:val="{AFDAD1D8-F52B-4B57-BA25-C239300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F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E2"/>
  </w:style>
  <w:style w:type="paragraph" w:styleId="Footer">
    <w:name w:val="footer"/>
    <w:basedOn w:val="Normal"/>
    <w:link w:val="Foot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E2"/>
  </w:style>
  <w:style w:type="paragraph" w:styleId="CommentText">
    <w:name w:val="annotation text"/>
    <w:basedOn w:val="Normal"/>
    <w:link w:val="CommentTextChar"/>
    <w:uiPriority w:val="99"/>
    <w:semiHidden/>
    <w:unhideWhenUsed/>
    <w:rsid w:val="00EB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CF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7C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E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354E-80DF-4A75-9DCE-57C50182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Potter</dc:creator>
  <cp:keywords/>
  <dc:description/>
  <cp:lastModifiedBy>Jonathan Potter</cp:lastModifiedBy>
  <cp:revision>21</cp:revision>
  <dcterms:created xsi:type="dcterms:W3CDTF">2026-05-27T16:31:00Z</dcterms:created>
  <dcterms:modified xsi:type="dcterms:W3CDTF">2026-05-27T17:59:00Z</dcterms:modified>
</cp:coreProperties>
</file>